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5014" w14:textId="77777777" w:rsidR="00C537EC" w:rsidRDefault="00C537EC" w:rsidP="00C537EC">
      <w:pPr>
        <w:shd w:val="clear" w:color="auto" w:fill="FFFFFF" w:themeFill="background1"/>
        <w:spacing w:before="48" w:after="48"/>
        <w:rPr>
          <w:rFonts w:ascii="Telefonica Sans" w:eastAsia="Telefonica Sans" w:hAnsi="Telefonica Sans" w:cs="Telefonica Sans"/>
          <w:b/>
          <w:bCs/>
          <w:color w:val="000000" w:themeColor="text1"/>
          <w:spacing w:val="-8"/>
          <w:sz w:val="32"/>
          <w:szCs w:val="32"/>
          <w:lang w:val="es-ES"/>
        </w:rPr>
      </w:pPr>
    </w:p>
    <w:p w14:paraId="44BB6D0B" w14:textId="18D80F13" w:rsidR="00C537EC" w:rsidRPr="00C537EC" w:rsidRDefault="00C537EC" w:rsidP="00C537EC">
      <w:pPr>
        <w:spacing w:after="0"/>
        <w:rPr>
          <w:rFonts w:ascii="Telefonica Sans" w:eastAsia="Telefonica Sans" w:hAnsi="Telefonica Sans" w:cs="Telefonica Sans"/>
          <w:color w:val="0070C0"/>
          <w:sz w:val="48"/>
          <w:szCs w:val="48"/>
          <w:lang w:val="ca"/>
        </w:rPr>
      </w:pPr>
      <w:r w:rsidRPr="00C537EC">
        <w:rPr>
          <w:rFonts w:ascii="Telefonica Sans" w:eastAsia="Telefonica Sans" w:hAnsi="Telefonica Sans" w:cs="Telefonica Sans"/>
          <w:color w:val="0070C0"/>
          <w:sz w:val="48"/>
          <w:szCs w:val="48"/>
          <w:lang w:val="ca"/>
        </w:rPr>
        <w:t>PRESS RELEASE</w:t>
      </w:r>
    </w:p>
    <w:p w14:paraId="40067A40" w14:textId="33C71422" w:rsidR="00C537EC" w:rsidRDefault="00C537EC" w:rsidP="00C537EC">
      <w:pPr>
        <w:shd w:val="clear" w:color="auto" w:fill="FFFFFF" w:themeFill="background1"/>
        <w:spacing w:before="48" w:after="48"/>
        <w:rPr>
          <w:rFonts w:ascii="Telefonica Sans" w:eastAsia="Telefonica Sans" w:hAnsi="Telefonica Sans" w:cs="Telefonica Sans"/>
          <w:color w:val="000000" w:themeColor="text1"/>
          <w:lang w:val="es-ES"/>
        </w:rPr>
      </w:pPr>
      <w:r w:rsidRPr="00C537EC">
        <w:rPr>
          <w:rFonts w:ascii="Telefonica Sans" w:eastAsia="Telefonica Sans" w:hAnsi="Telefonica Sans" w:cs="Telefonica Sans"/>
          <w:color w:val="000000" w:themeColor="text1"/>
          <w:lang w:val="es-ES"/>
        </w:rPr>
        <w:t>February 2, 2026</w:t>
      </w:r>
    </w:p>
    <w:p w14:paraId="282D40C0" w14:textId="77777777" w:rsidR="00C537EC" w:rsidRPr="00C537EC" w:rsidRDefault="00C537EC" w:rsidP="00C537EC">
      <w:pPr>
        <w:shd w:val="clear" w:color="auto" w:fill="FFFFFF" w:themeFill="background1"/>
        <w:spacing w:before="48" w:after="48"/>
        <w:rPr>
          <w:rFonts w:ascii="Telefonica Sans" w:eastAsia="Telefonica Sans" w:hAnsi="Telefonica Sans" w:cs="Telefonica Sans"/>
          <w:color w:val="000000" w:themeColor="text1"/>
          <w:lang w:val="es-ES"/>
        </w:rPr>
      </w:pPr>
    </w:p>
    <w:p w14:paraId="538CC3EA" w14:textId="77777777" w:rsidR="00C537EC" w:rsidRPr="00C537EC" w:rsidRDefault="00C537EC" w:rsidP="00C537EC">
      <w:pPr>
        <w:shd w:val="clear" w:color="auto" w:fill="FFFFFF" w:themeFill="background1"/>
        <w:spacing w:before="48" w:after="48"/>
        <w:jc w:val="center"/>
        <w:rPr>
          <w:rFonts w:ascii="Telefonica Sans" w:eastAsia="Telefonica Sans" w:hAnsi="Telefonica Sans" w:cs="Telefonica Sans"/>
          <w:b/>
          <w:bCs/>
          <w:color w:val="000000" w:themeColor="text1"/>
          <w:u w:val="single"/>
          <w:lang w:val="es-ES"/>
        </w:rPr>
      </w:pPr>
      <w:r w:rsidRPr="00C537EC">
        <w:rPr>
          <w:rFonts w:ascii="Telefonica Sans" w:eastAsia="Telefonica Sans" w:hAnsi="Telefonica Sans" w:cs="Telefonica Sans"/>
          <w:b/>
          <w:bCs/>
          <w:color w:val="000000" w:themeColor="text1"/>
          <w:u w:val="single"/>
          <w:lang w:val="es-ES"/>
        </w:rPr>
        <w:t>Located in the Barcelona Activa technology park, it has become a benchmark for technological talent in the city.</w:t>
      </w:r>
    </w:p>
    <w:p w14:paraId="5A44B99A" w14:textId="77777777" w:rsidR="00C537EC" w:rsidRPr="00C537EC" w:rsidRDefault="00C537EC" w:rsidP="00C537EC">
      <w:pPr>
        <w:spacing w:after="0"/>
        <w:rPr>
          <w:rFonts w:ascii="Telefonica Sans" w:eastAsia="Telefonica Sans" w:hAnsi="Telefonica Sans" w:cs="Telefonica Sans"/>
          <w:color w:val="0070C0"/>
          <w:sz w:val="48"/>
          <w:szCs w:val="48"/>
          <w:lang w:val="ca"/>
        </w:rPr>
      </w:pPr>
    </w:p>
    <w:p w14:paraId="7B5C8743" w14:textId="21BD8A9F" w:rsidR="00C537EC" w:rsidRPr="00C537EC" w:rsidRDefault="00C537EC" w:rsidP="00C537EC">
      <w:pPr>
        <w:shd w:val="clear" w:color="auto" w:fill="FFFFFF" w:themeFill="background1"/>
        <w:spacing w:before="48" w:after="48"/>
        <w:jc w:val="center"/>
        <w:rPr>
          <w:rFonts w:ascii="Telefonica Sans" w:eastAsia="Telefonica Sans" w:hAnsi="Telefonica Sans" w:cs="Telefonica Sans"/>
          <w:b/>
          <w:bCs/>
          <w:color w:val="000000" w:themeColor="text1"/>
          <w:spacing w:val="-8"/>
          <w:sz w:val="32"/>
          <w:szCs w:val="32"/>
          <w:lang w:val="es-ES"/>
        </w:rPr>
      </w:pPr>
      <w:r>
        <w:rPr>
          <w:rFonts w:ascii="Telefonica Sans" w:eastAsia="Telefonica Sans" w:hAnsi="Telefonica Sans" w:cs="Telefonica Sans"/>
          <w:b/>
          <w:bCs/>
          <w:color w:val="000000" w:themeColor="text1"/>
          <w:spacing w:val="-8"/>
          <w:sz w:val="32"/>
          <w:szCs w:val="32"/>
          <w:lang w:val="es-ES"/>
        </w:rPr>
        <w:t>FUNDACIÓN TELEFÓNICA</w:t>
      </w:r>
      <w:r w:rsidRPr="00C537EC">
        <w:rPr>
          <w:rFonts w:ascii="Telefonica Sans" w:eastAsia="Telefonica Sans" w:hAnsi="Telefonica Sans" w:cs="Telefonica Sans"/>
          <w:b/>
          <w:bCs/>
          <w:color w:val="000000" w:themeColor="text1"/>
          <w:spacing w:val="-8"/>
          <w:sz w:val="32"/>
          <w:szCs w:val="32"/>
          <w:lang w:val="es-ES"/>
        </w:rPr>
        <w:t>, BARCELONA CITY COUNCIL AND THE GOVERNMENT OF CATALONIA RENEW THEIR ALLIANCE TO CONTINUE PROMOTING THE 42 PROGRAMMING CAMPUS</w:t>
      </w:r>
    </w:p>
    <w:p w14:paraId="66D4877C" w14:textId="77777777" w:rsidR="001F7E5A" w:rsidRPr="009C48D9" w:rsidRDefault="001F7E5A" w:rsidP="2A782161">
      <w:pPr>
        <w:spacing w:after="0"/>
        <w:jc w:val="both"/>
        <w:rPr>
          <w:rFonts w:ascii="Telefonica Sans" w:eastAsia="Telefonica Sans" w:hAnsi="Telefonica Sans" w:cs="Telefonica Sans"/>
          <w:sz w:val="16"/>
          <w:szCs w:val="16"/>
          <w:lang w:val="es-ES"/>
        </w:rPr>
      </w:pPr>
    </w:p>
    <w:p w14:paraId="234369AA" w14:textId="35D907C4" w:rsidR="00C537EC" w:rsidRPr="00C537EC" w:rsidRDefault="00C537EC" w:rsidP="00C537EC">
      <w:pPr>
        <w:pStyle w:val="Prrafodelista"/>
        <w:numPr>
          <w:ilvl w:val="0"/>
          <w:numId w:val="2"/>
        </w:numPr>
        <w:spacing w:after="0" w:line="240" w:lineRule="auto"/>
        <w:jc w:val="both"/>
        <w:rPr>
          <w:rFonts w:ascii="Telefonica Sans" w:hAnsi="Telefonica Sans"/>
          <w:b/>
          <w:bCs/>
          <w:sz w:val="22"/>
          <w:szCs w:val="22"/>
          <w:lang w:val="es-ES"/>
        </w:rPr>
      </w:pPr>
      <w:r w:rsidRPr="00C537EC">
        <w:rPr>
          <w:rFonts w:ascii="Telefonica Sans" w:hAnsi="Telefonica Sans"/>
          <w:b/>
          <w:bCs/>
          <w:sz w:val="22"/>
          <w:szCs w:val="22"/>
          <w:lang w:val="es-ES"/>
        </w:rPr>
        <w:t xml:space="preserve">The renewal of the agreement will allow the continued promotion of a free, high-quality training model that ensures professional qualifications for employment for residents of the province of Barcelona, </w:t>
      </w:r>
      <w:r w:rsidRPr="00C537EC">
        <w:rPr>
          <w:rFonts w:ascii="Times New Roman" w:hAnsi="Times New Roman" w:cs="Times New Roman"/>
          <w:b/>
          <w:bCs/>
          <w:sz w:val="22"/>
          <w:szCs w:val="22"/>
          <w:lang w:val="es-ES"/>
        </w:rPr>
        <w:t>​​</w:t>
      </w:r>
      <w:r w:rsidRPr="00C537EC">
        <w:rPr>
          <w:rFonts w:ascii="Telefonica Sans" w:hAnsi="Telefonica Sans"/>
          <w:b/>
          <w:bCs/>
          <w:sz w:val="22"/>
          <w:szCs w:val="22"/>
          <w:lang w:val="es-ES"/>
        </w:rPr>
        <w:t>as well as for the rest of Catalonia.</w:t>
      </w:r>
    </w:p>
    <w:p w14:paraId="6C395D19" w14:textId="77777777" w:rsidR="00C537EC" w:rsidRPr="00C537EC" w:rsidRDefault="00C537EC" w:rsidP="00C537EC">
      <w:pPr>
        <w:pStyle w:val="Prrafodelista"/>
        <w:spacing w:after="0" w:line="240" w:lineRule="auto"/>
        <w:jc w:val="both"/>
        <w:rPr>
          <w:rFonts w:ascii="Telefonica Sans" w:hAnsi="Telefonica Sans"/>
          <w:b/>
          <w:bCs/>
          <w:sz w:val="22"/>
          <w:szCs w:val="22"/>
          <w:lang w:val="es-ES"/>
        </w:rPr>
      </w:pPr>
    </w:p>
    <w:p w14:paraId="6FB566B7" w14:textId="59570E08" w:rsidR="00C537EC" w:rsidRPr="00C537EC" w:rsidRDefault="00C537EC" w:rsidP="00C537EC">
      <w:pPr>
        <w:pStyle w:val="Prrafodelista"/>
        <w:numPr>
          <w:ilvl w:val="0"/>
          <w:numId w:val="2"/>
        </w:numPr>
        <w:spacing w:after="0" w:line="240" w:lineRule="auto"/>
        <w:jc w:val="both"/>
        <w:rPr>
          <w:rFonts w:ascii="Telefonica Sans" w:hAnsi="Telefonica Sans"/>
          <w:b/>
          <w:bCs/>
          <w:sz w:val="22"/>
          <w:szCs w:val="22"/>
          <w:lang w:val="es-ES"/>
        </w:rPr>
      </w:pPr>
      <w:r w:rsidRPr="00C537EC">
        <w:rPr>
          <w:rFonts w:ascii="Telefonica Sans" w:hAnsi="Telefonica Sans"/>
          <w:b/>
          <w:bCs/>
          <w:sz w:val="22"/>
          <w:szCs w:val="22"/>
          <w:lang w:val="es-ES"/>
        </w:rPr>
        <w:t>In 2026, the Department of Research and Universities will be joined by the Department of Business and Employment of the Generalitat (Government of Catalonia) to continue collaborating on the project's implementation.</w:t>
      </w:r>
    </w:p>
    <w:p w14:paraId="1D326435" w14:textId="77777777" w:rsidR="00C537EC" w:rsidRPr="00C537EC" w:rsidRDefault="00C537EC" w:rsidP="00C537EC">
      <w:pPr>
        <w:pStyle w:val="Prrafodelista"/>
        <w:spacing w:after="0" w:line="240" w:lineRule="auto"/>
        <w:jc w:val="both"/>
        <w:rPr>
          <w:rFonts w:ascii="Telefonica Sans" w:hAnsi="Telefonica Sans"/>
          <w:b/>
          <w:bCs/>
          <w:sz w:val="22"/>
          <w:szCs w:val="22"/>
          <w:lang w:val="es-ES"/>
        </w:rPr>
      </w:pPr>
    </w:p>
    <w:p w14:paraId="645A78CF" w14:textId="75C230DA" w:rsidR="00C537EC" w:rsidRPr="00C537EC" w:rsidRDefault="00C537EC" w:rsidP="00C537EC">
      <w:pPr>
        <w:pStyle w:val="Prrafodelista"/>
        <w:numPr>
          <w:ilvl w:val="0"/>
          <w:numId w:val="2"/>
        </w:numPr>
        <w:spacing w:after="0" w:line="240" w:lineRule="auto"/>
        <w:jc w:val="both"/>
        <w:rPr>
          <w:rFonts w:ascii="Telefonica Sans" w:hAnsi="Telefonica Sans"/>
          <w:b/>
          <w:bCs/>
          <w:sz w:val="22"/>
          <w:szCs w:val="22"/>
          <w:lang w:val="es-ES"/>
        </w:rPr>
      </w:pPr>
      <w:r w:rsidRPr="00C537EC">
        <w:rPr>
          <w:rFonts w:ascii="Telefonica Sans" w:hAnsi="Telefonica Sans"/>
          <w:b/>
          <w:bCs/>
          <w:sz w:val="22"/>
          <w:szCs w:val="22"/>
          <w:lang w:val="es-ES"/>
        </w:rPr>
        <w:t>Since its launch, more than 3,300 people have participated in the selection process, which consists of a 26-day immersion in its disruptive learning model.</w:t>
      </w:r>
    </w:p>
    <w:p w14:paraId="6CB2DDEC" w14:textId="25451BFE" w:rsidR="00FE757D" w:rsidRDefault="00FE757D" w:rsidP="4B621C38">
      <w:pPr>
        <w:spacing w:after="0" w:line="240" w:lineRule="auto"/>
        <w:jc w:val="both"/>
        <w:rPr>
          <w:rFonts w:ascii="Telefonica Sans" w:hAnsi="Telefonica Sans"/>
          <w:sz w:val="22"/>
          <w:szCs w:val="22"/>
          <w:lang w:val="es-ES"/>
        </w:rPr>
      </w:pPr>
    </w:p>
    <w:p w14:paraId="1D7A6CB0" w14:textId="77777777" w:rsidR="00C537EC" w:rsidRDefault="00C537EC" w:rsidP="007D346C">
      <w:pPr>
        <w:spacing w:after="0"/>
        <w:jc w:val="both"/>
        <w:rPr>
          <w:rFonts w:ascii="Telefonica Sans" w:eastAsia="Telefonica Sans" w:hAnsi="Telefonica Sans" w:cs="Telefonica Sans"/>
          <w:sz w:val="22"/>
          <w:szCs w:val="22"/>
          <w:lang w:val="es-ES"/>
        </w:rPr>
      </w:pPr>
    </w:p>
    <w:p w14:paraId="539E06C0" w14:textId="77777777" w:rsidR="00C537EC" w:rsidRPr="00C537EC"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b/>
          <w:bCs/>
          <w:sz w:val="22"/>
          <w:szCs w:val="22"/>
          <w:lang w:val="es-ES"/>
        </w:rPr>
        <w:t xml:space="preserve">Barcelona, </w:t>
      </w:r>
      <w:r w:rsidRPr="00C537EC">
        <w:rPr>
          <w:rFonts w:ascii="Times New Roman" w:eastAsia="Telefonica Sans" w:hAnsi="Times New Roman" w:cs="Times New Roman"/>
          <w:b/>
          <w:bCs/>
          <w:sz w:val="22"/>
          <w:szCs w:val="22"/>
          <w:lang w:val="es-ES"/>
        </w:rPr>
        <w:t>​​</w:t>
      </w:r>
      <w:r w:rsidRPr="00C537EC">
        <w:rPr>
          <w:rFonts w:ascii="Telefonica Sans" w:eastAsia="Telefonica Sans" w:hAnsi="Telefonica Sans" w:cs="Telefonica Sans"/>
          <w:b/>
          <w:bCs/>
          <w:sz w:val="22"/>
          <w:szCs w:val="22"/>
          <w:lang w:val="es-ES"/>
        </w:rPr>
        <w:t>February 2, 2026 – Fundación Telefónica, the Barcelona City Council, and the Government of Catalonia have renewed their collaboration agreement,</w:t>
      </w:r>
      <w:r w:rsidRPr="00C537EC">
        <w:rPr>
          <w:rFonts w:ascii="Telefonica Sans" w:eastAsia="Telefonica Sans" w:hAnsi="Telefonica Sans" w:cs="Telefonica Sans"/>
          <w:sz w:val="22"/>
          <w:szCs w:val="22"/>
          <w:lang w:val="es-ES"/>
        </w:rPr>
        <w:t xml:space="preserve"> signed in 2021, </w:t>
      </w:r>
      <w:r w:rsidRPr="00C537EC">
        <w:rPr>
          <w:rFonts w:ascii="Telefonica Sans" w:eastAsia="Telefonica Sans" w:hAnsi="Telefonica Sans" w:cs="Telefonica Sans"/>
          <w:b/>
          <w:bCs/>
          <w:sz w:val="22"/>
          <w:szCs w:val="22"/>
          <w:lang w:val="es-ES"/>
        </w:rPr>
        <w:t>for another three years</w:t>
      </w:r>
      <w:r w:rsidRPr="00C537EC">
        <w:rPr>
          <w:rFonts w:ascii="Telefonica Sans" w:eastAsia="Telefonica Sans" w:hAnsi="Telefonica Sans" w:cs="Telefonica Sans"/>
          <w:sz w:val="22"/>
          <w:szCs w:val="22"/>
          <w:lang w:val="es-ES"/>
        </w:rPr>
        <w:t>. This agreement will continue to offer a high-quality training alternative, fully funded by the project's sponsoring organizations, that promotes professional career development and generates social and economic impact through talent, specialized training, and community engagement.</w:t>
      </w:r>
    </w:p>
    <w:p w14:paraId="7075D06F" w14:textId="77777777" w:rsidR="00C537EC" w:rsidRPr="00C537EC" w:rsidRDefault="00C537EC" w:rsidP="00C537EC">
      <w:pPr>
        <w:spacing w:after="0"/>
        <w:jc w:val="both"/>
        <w:rPr>
          <w:rFonts w:ascii="Telefonica Sans" w:eastAsia="Telefonica Sans" w:hAnsi="Telefonica Sans" w:cs="Telefonica Sans"/>
          <w:sz w:val="22"/>
          <w:szCs w:val="22"/>
          <w:lang w:val="es-ES"/>
        </w:rPr>
      </w:pPr>
    </w:p>
    <w:p w14:paraId="72CA269C" w14:textId="77777777" w:rsidR="00C537EC" w:rsidRPr="00C537EC"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sz w:val="22"/>
          <w:szCs w:val="22"/>
          <w:lang w:val="es-ES"/>
        </w:rPr>
        <w:t xml:space="preserve">This renewal consolidates the 42 Barcelona programming campus as a gateway to the digital job market, reinforcing Barcelona's position as one of Europe's most dynamic technology ecosystems. Furthermore, in 2026, the Department of Business and Employment of the Government of </w:t>
      </w:r>
      <w:r w:rsidRPr="00C537EC">
        <w:rPr>
          <w:rFonts w:ascii="Telefonica Sans" w:eastAsia="Telefonica Sans" w:hAnsi="Telefonica Sans" w:cs="Telefonica Sans"/>
          <w:sz w:val="22"/>
          <w:szCs w:val="22"/>
          <w:lang w:val="es-ES"/>
        </w:rPr>
        <w:lastRenderedPageBreak/>
        <w:t>Catalonia will join the Department of Research and Universities to continue collaborating on the deployment and growth of the 42 Barcelona project. This innovative initiative provides training in advanced digital skills and serves as a key infrastructure for developing the talent necessary for the country's technological transformation.</w:t>
      </w:r>
    </w:p>
    <w:p w14:paraId="50382B47" w14:textId="77777777" w:rsidR="00C537EC" w:rsidRPr="00C537EC" w:rsidRDefault="00C537EC" w:rsidP="00C537EC">
      <w:pPr>
        <w:spacing w:after="0"/>
        <w:jc w:val="both"/>
        <w:rPr>
          <w:rFonts w:ascii="Telefonica Sans" w:eastAsia="Telefonica Sans" w:hAnsi="Telefonica Sans" w:cs="Telefonica Sans"/>
          <w:sz w:val="22"/>
          <w:szCs w:val="22"/>
          <w:lang w:val="es-ES"/>
        </w:rPr>
      </w:pPr>
    </w:p>
    <w:p w14:paraId="15E11F55" w14:textId="7E039288" w:rsidR="00C537EC" w:rsidRPr="00C537EC"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sz w:val="22"/>
          <w:szCs w:val="22"/>
          <w:lang w:val="es-ES"/>
        </w:rPr>
        <w:t xml:space="preserve">Raquel Gil, Fifth Deputy Mayor and President of Barcelona Activa; Núria Montserrat, Minister of Research and Universities, and Miquel Sàmper, Minister of Business and Labor, both from the Government of Catalonia; and Isabel Salazar, </w:t>
      </w:r>
      <w:r>
        <w:rPr>
          <w:rFonts w:ascii="Telefonica Sans" w:eastAsia="Telefonica Sans" w:hAnsi="Telefonica Sans" w:cs="Telefonica Sans"/>
          <w:sz w:val="22"/>
          <w:szCs w:val="22"/>
          <w:lang w:val="es-ES"/>
        </w:rPr>
        <w:t>General Manager</w:t>
      </w:r>
      <w:r w:rsidRPr="00C537EC">
        <w:rPr>
          <w:rFonts w:ascii="Telefonica Sans" w:eastAsia="Telefonica Sans" w:hAnsi="Telefonica Sans" w:cs="Telefonica Sans"/>
          <w:sz w:val="22"/>
          <w:szCs w:val="22"/>
          <w:lang w:val="es-ES"/>
        </w:rPr>
        <w:t xml:space="preserve"> of </w:t>
      </w:r>
      <w:r>
        <w:rPr>
          <w:rFonts w:ascii="Telefonica Sans" w:eastAsia="Telefonica Sans" w:hAnsi="Telefonica Sans" w:cs="Telefonica Sans"/>
          <w:sz w:val="22"/>
          <w:szCs w:val="22"/>
          <w:lang w:val="es-ES"/>
        </w:rPr>
        <w:t>Fundación Telefónica</w:t>
      </w:r>
      <w:r w:rsidRPr="00C537EC">
        <w:rPr>
          <w:rFonts w:ascii="Telefonica Sans" w:eastAsia="Telefonica Sans" w:hAnsi="Telefonica Sans" w:cs="Telefonica Sans"/>
          <w:sz w:val="22"/>
          <w:szCs w:val="22"/>
          <w:lang w:val="es-ES"/>
        </w:rPr>
        <w:t>, signed the document outlining the commitment of all parties to continue promoting digital training and talent development with the aim of strengthening Barcelona's position as a leader in innovation and technological entrepreneurship.</w:t>
      </w:r>
    </w:p>
    <w:p w14:paraId="787BBFDD" w14:textId="77777777" w:rsidR="00C537EC" w:rsidRPr="00C537EC" w:rsidRDefault="00C537EC" w:rsidP="00C537EC">
      <w:pPr>
        <w:spacing w:after="0"/>
        <w:jc w:val="both"/>
        <w:rPr>
          <w:rFonts w:ascii="Telefonica Sans" w:eastAsia="Telefonica Sans" w:hAnsi="Telefonica Sans" w:cs="Telefonica Sans"/>
          <w:sz w:val="22"/>
          <w:szCs w:val="22"/>
          <w:lang w:val="es-ES"/>
        </w:rPr>
      </w:pPr>
    </w:p>
    <w:p w14:paraId="3E7C8622" w14:textId="77777777" w:rsidR="00C537EC" w:rsidRPr="00C537EC"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sz w:val="22"/>
          <w:szCs w:val="22"/>
          <w:lang w:val="es-ES"/>
        </w:rPr>
        <w:t>During the signing, Raquel Gil, President of Barcelona Activa, the initiative that owns the technology park where 42 Barcelona is located, stated that the renewal of the agreement is "an example of how public-private collaboration allows for the promotion of projects with a significant impact on citizens." "From the City Council, we remain committed to digital talent, which over the last four years has allowed us to generate job opportunities in Nou Barris in a sector that is strategic for Barcelona: the digital sector. Through training, we offer access to quality employment, thus contributing to what we call the right to remain in the city," and have developed a life plan.</w:t>
      </w:r>
    </w:p>
    <w:p w14:paraId="4A32A223" w14:textId="77777777" w:rsidR="00C537EC" w:rsidRPr="00C537EC" w:rsidRDefault="00C537EC" w:rsidP="00C537EC">
      <w:pPr>
        <w:spacing w:after="0"/>
        <w:jc w:val="both"/>
        <w:rPr>
          <w:rFonts w:ascii="Telefonica Sans" w:eastAsia="Telefonica Sans" w:hAnsi="Telefonica Sans" w:cs="Telefonica Sans"/>
          <w:sz w:val="22"/>
          <w:szCs w:val="22"/>
          <w:lang w:val="es-ES"/>
        </w:rPr>
      </w:pPr>
    </w:p>
    <w:p w14:paraId="627F4A35" w14:textId="1383061D" w:rsidR="00C537EC"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sz w:val="22"/>
          <w:szCs w:val="22"/>
          <w:lang w:val="es-ES"/>
        </w:rPr>
        <w:t>On behalf of the Catalan Government, the Minister of Research and Universities, Núria Montserrat, highlighted the importance of the initiative, noting that "the future of the country is also built on the capacity to innovate, adapt, and lead in the digital age. In a globalized and constantly transforming world, digital talent is not an option but a strategic necessity for our economic sovereignty, the well-being of citizens, and collective progress." Montserrat emphasized the importance of promoting digital talent to ensure full digital inclusion for all citizens and create an innovative ecosystem that generates quality opportunities: "Digitalization must be a tool for a fairer society with a greater capacity to decide its own future. Therefore, investing in digital talent is, today, investing in the progress of Catalonia."</w:t>
      </w:r>
    </w:p>
    <w:p w14:paraId="361F99C3" w14:textId="77777777" w:rsidR="00A01CB4" w:rsidRDefault="00A01CB4" w:rsidP="007D346C">
      <w:pPr>
        <w:spacing w:after="0"/>
        <w:jc w:val="both"/>
        <w:rPr>
          <w:rFonts w:ascii="Telefonica Sans" w:eastAsia="Telefonica Sans" w:hAnsi="Telefonica Sans" w:cs="Telefonica Sans"/>
          <w:sz w:val="22"/>
          <w:szCs w:val="22"/>
          <w:lang w:val="es-ES"/>
        </w:rPr>
      </w:pPr>
    </w:p>
    <w:p w14:paraId="765684C4" w14:textId="77777777" w:rsidR="00C537EC" w:rsidRPr="00C537EC"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sz w:val="22"/>
          <w:szCs w:val="22"/>
          <w:lang w:val="es-ES"/>
        </w:rPr>
        <w:t xml:space="preserve">Miquel Sàmper, Minister of Business and Labor, who is joining the project in this new phase, emphasized that "investing in digital talent is not only an educational policy, but also an economic and industrial policy, because the future of productivity, innovation, and competitiveness in Catalonia depends, above all, on people." In this regard, he highlighted that "the renewal of the agreement between the Government of Catalonia, the Barcelona City Council, and the Telefónica Foundation reinforces a shared commitment to talent, employability, and social impact, with the aim of ensuring that no one is left behind in the opportunities offered by the digital revolution." He </w:t>
      </w:r>
      <w:r w:rsidRPr="00C537EC">
        <w:rPr>
          <w:rFonts w:ascii="Telefonica Sans" w:eastAsia="Telefonica Sans" w:hAnsi="Telefonica Sans" w:cs="Telefonica Sans"/>
          <w:sz w:val="22"/>
          <w:szCs w:val="22"/>
          <w:lang w:val="es-ES"/>
        </w:rPr>
        <w:lastRenderedPageBreak/>
        <w:t>added, "From the Government of Catalonia, we are promoting the National Pact for Digital Talent with a clear objective: to ensure that the country has the necessary talent to compete in an increasingly demanding global environment, and initiatives like 42 Barcelona are key components of this future strategy."</w:t>
      </w:r>
    </w:p>
    <w:p w14:paraId="70303D73" w14:textId="77777777" w:rsidR="00C537EC" w:rsidRPr="00C537EC" w:rsidRDefault="00C537EC" w:rsidP="00C537EC">
      <w:pPr>
        <w:spacing w:after="0"/>
        <w:jc w:val="both"/>
        <w:rPr>
          <w:rFonts w:ascii="Telefonica Sans" w:eastAsia="Telefonica Sans" w:hAnsi="Telefonica Sans" w:cs="Telefonica Sans"/>
          <w:sz w:val="22"/>
          <w:szCs w:val="22"/>
          <w:lang w:val="es-ES"/>
        </w:rPr>
      </w:pPr>
    </w:p>
    <w:p w14:paraId="05B25480" w14:textId="15066C79" w:rsidR="00C537EC" w:rsidRPr="00C537EC"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sz w:val="22"/>
          <w:szCs w:val="22"/>
          <w:lang w:val="es-ES"/>
        </w:rPr>
        <w:t xml:space="preserve">For Isabel Salazar, </w:t>
      </w:r>
      <w:r>
        <w:rPr>
          <w:rFonts w:ascii="Telefonica Sans" w:eastAsia="Telefonica Sans" w:hAnsi="Telefonica Sans" w:cs="Telefonica Sans"/>
          <w:sz w:val="22"/>
          <w:szCs w:val="22"/>
          <w:lang w:val="es-ES"/>
        </w:rPr>
        <w:t>General Manager of</w:t>
      </w:r>
      <w:r w:rsidRPr="00C537EC">
        <w:rPr>
          <w:rFonts w:ascii="Telefonica Sans" w:eastAsia="Telefonica Sans" w:hAnsi="Telefonica Sans" w:cs="Telefonica Sans"/>
          <w:sz w:val="22"/>
          <w:szCs w:val="22"/>
          <w:lang w:val="es-ES"/>
        </w:rPr>
        <w:t xml:space="preserve"> Fundación Telefónica, in the current context of unstoppable technological transformation, “our commitment to digital talent goes far beyond training programmers. It's about democratizing access to the professions in the already booming digital market, reducing the digital divide, and generating real opportunities. This renewal is also a recognition of Barcelona as a European technology hub. The public-private collaboration that this agreement represents is an example of how we must work together to boost technological talent and promote real development opportunities. At Fundación Telefónica, we know that investing in digital education is investing in competitiveness, quality employment, and growth opportunities to increase technological leadership.”</w:t>
      </w:r>
    </w:p>
    <w:p w14:paraId="25605F62" w14:textId="77777777" w:rsidR="00C537EC" w:rsidRPr="00C537EC" w:rsidRDefault="00C537EC" w:rsidP="00C537EC">
      <w:pPr>
        <w:spacing w:after="0"/>
        <w:jc w:val="both"/>
        <w:rPr>
          <w:rFonts w:ascii="Telefonica Sans" w:eastAsia="Telefonica Sans" w:hAnsi="Telefonica Sans" w:cs="Telefonica Sans"/>
          <w:sz w:val="22"/>
          <w:szCs w:val="22"/>
          <w:lang w:val="es-ES"/>
        </w:rPr>
      </w:pPr>
    </w:p>
    <w:p w14:paraId="7CAA56E3" w14:textId="7E8052E2" w:rsidR="00CF5A8A"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sz w:val="22"/>
          <w:szCs w:val="22"/>
          <w:lang w:val="es-ES"/>
        </w:rPr>
        <w:t xml:space="preserve">The renewal ceremony, which took place this morning at the 42 Barcelona programming campus, was also attended by Lorenzo di Pietro, CEO of Barcelona Activa, and Sara Díaz, Executive Director of Strategic Sectors and Talent at Barcelona Activa, representing the Barcelona City Council. Representing the Generalitat were María Galindo, Secretary of Digital Policies; Javier Selva, Director General of Transfer and the Knowledge Society; Sandra Ruiz, Director General of Digital Society; and Francesc Roca, Secretary General of Vocational Training. Representing the Telefónica Foundation's 42 project were Ainhoa </w:t>
      </w:r>
      <w:r w:rsidRPr="00C537EC">
        <w:rPr>
          <w:rFonts w:ascii="Times New Roman" w:eastAsia="Telefonica Sans" w:hAnsi="Times New Roman" w:cs="Times New Roman"/>
          <w:sz w:val="22"/>
          <w:szCs w:val="22"/>
          <w:lang w:val="es-ES"/>
        </w:rPr>
        <w:t>​​</w:t>
      </w:r>
      <w:r w:rsidRPr="00C537EC">
        <w:rPr>
          <w:rFonts w:ascii="Telefonica Sans" w:eastAsia="Telefonica Sans" w:hAnsi="Telefonica Sans" w:cs="Telefonica Sans"/>
          <w:sz w:val="22"/>
          <w:szCs w:val="22"/>
          <w:lang w:val="es-ES"/>
        </w:rPr>
        <w:t xml:space="preserve">Zamora, Director of the 42 Barcelona campus; Íñigo Audibert, Deputy Director General of Transformation, Efficiency, and Support; Inés Temes, Director of Social Innovation, Employment, Education, and Volunteering, all from the </w:t>
      </w:r>
      <w:r>
        <w:rPr>
          <w:rFonts w:ascii="Telefonica Sans" w:eastAsia="Telefonica Sans" w:hAnsi="Telefonica Sans" w:cs="Telefonica Sans"/>
          <w:sz w:val="22"/>
          <w:szCs w:val="22"/>
          <w:lang w:val="es-ES"/>
        </w:rPr>
        <w:t xml:space="preserve">Fundación </w:t>
      </w:r>
      <w:r w:rsidRPr="00C537EC">
        <w:rPr>
          <w:rFonts w:ascii="Telefonica Sans" w:eastAsia="Telefonica Sans" w:hAnsi="Telefonica Sans" w:cs="Telefonica Sans"/>
          <w:sz w:val="22"/>
          <w:szCs w:val="22"/>
          <w:lang w:val="es-ES"/>
        </w:rPr>
        <w:t xml:space="preserve">Telefónica; and Chema Casas, Eastern Regional Director of Telefónica </w:t>
      </w:r>
      <w:r>
        <w:rPr>
          <w:rFonts w:ascii="Telefonica Sans" w:eastAsia="Telefonica Sans" w:hAnsi="Telefonica Sans" w:cs="Telefonica Sans"/>
          <w:sz w:val="22"/>
          <w:szCs w:val="22"/>
          <w:lang w:val="es-ES"/>
        </w:rPr>
        <w:t>España</w:t>
      </w:r>
      <w:r w:rsidRPr="00C537EC">
        <w:rPr>
          <w:rFonts w:ascii="Telefonica Sans" w:eastAsia="Telefonica Sans" w:hAnsi="Telefonica Sans" w:cs="Telefonica Sans"/>
          <w:sz w:val="22"/>
          <w:szCs w:val="22"/>
          <w:lang w:val="es-ES"/>
        </w:rPr>
        <w:t>.</w:t>
      </w:r>
    </w:p>
    <w:p w14:paraId="59BCF75B" w14:textId="77777777" w:rsidR="00C537EC" w:rsidRPr="00C537EC" w:rsidRDefault="00C537EC" w:rsidP="00C537EC">
      <w:pPr>
        <w:spacing w:after="0"/>
        <w:jc w:val="both"/>
        <w:rPr>
          <w:rFonts w:ascii="Telefonica Sans" w:eastAsia="Telefonica Sans" w:hAnsi="Telefonica Sans" w:cs="Telefonica Sans"/>
          <w:sz w:val="22"/>
          <w:szCs w:val="22"/>
          <w:lang w:val="es-ES"/>
        </w:rPr>
      </w:pPr>
    </w:p>
    <w:p w14:paraId="66DBDF18" w14:textId="77777777" w:rsidR="00C537EC" w:rsidRPr="00C537EC" w:rsidRDefault="00C537EC" w:rsidP="00C537EC">
      <w:pPr>
        <w:spacing w:after="0"/>
        <w:jc w:val="both"/>
        <w:rPr>
          <w:rFonts w:ascii="Telefonica Sans" w:eastAsia="Telefonica Sans" w:hAnsi="Telefonica Sans" w:cs="Telefonica Sans"/>
          <w:b/>
          <w:bCs/>
          <w:sz w:val="22"/>
          <w:szCs w:val="22"/>
          <w:lang w:val="es-ES"/>
        </w:rPr>
      </w:pPr>
      <w:r w:rsidRPr="00C537EC">
        <w:rPr>
          <w:rFonts w:ascii="Telefonica Sans" w:eastAsia="Telefonica Sans" w:hAnsi="Telefonica Sans" w:cs="Telefonica Sans"/>
          <w:b/>
          <w:bCs/>
          <w:sz w:val="22"/>
          <w:szCs w:val="22"/>
          <w:lang w:val="es-ES"/>
        </w:rPr>
        <w:t xml:space="preserve">42 Barcelona, </w:t>
      </w:r>
      <w:r w:rsidRPr="00C537EC">
        <w:rPr>
          <w:rFonts w:ascii="Times New Roman" w:eastAsia="Telefonica Sans" w:hAnsi="Times New Roman" w:cs="Times New Roman"/>
          <w:b/>
          <w:bCs/>
          <w:sz w:val="22"/>
          <w:szCs w:val="22"/>
          <w:lang w:val="es-ES"/>
        </w:rPr>
        <w:t>​​</w:t>
      </w:r>
      <w:r w:rsidRPr="00C537EC">
        <w:rPr>
          <w:rFonts w:ascii="Telefonica Sans" w:eastAsia="Telefonica Sans" w:hAnsi="Telefonica Sans" w:cs="Telefonica Sans"/>
          <w:b/>
          <w:bCs/>
          <w:sz w:val="22"/>
          <w:szCs w:val="22"/>
          <w:lang w:val="es-ES"/>
        </w:rPr>
        <w:t>European Technology Hub</w:t>
      </w:r>
    </w:p>
    <w:p w14:paraId="1C0A9BEC" w14:textId="77777777" w:rsidR="00C537EC" w:rsidRPr="00C537EC" w:rsidRDefault="00C537EC" w:rsidP="00C537EC">
      <w:pPr>
        <w:spacing w:after="0"/>
        <w:jc w:val="both"/>
        <w:rPr>
          <w:rFonts w:ascii="Telefonica Sans" w:eastAsia="Telefonica Sans" w:hAnsi="Telefonica Sans" w:cs="Telefonica Sans"/>
          <w:sz w:val="22"/>
          <w:szCs w:val="22"/>
          <w:lang w:val="es-ES"/>
        </w:rPr>
      </w:pPr>
    </w:p>
    <w:p w14:paraId="5E0C7E68" w14:textId="77777777" w:rsidR="00C537EC" w:rsidRPr="00C537EC"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sz w:val="22"/>
          <w:szCs w:val="22"/>
          <w:lang w:val="es-ES"/>
        </w:rPr>
        <w:t>After five years, 42 Barcelona has become a leading hub where training, entrepreneurship, and businesses have connected to promote skilled employment and drive professional development.</w:t>
      </w:r>
    </w:p>
    <w:p w14:paraId="205A352C" w14:textId="77777777" w:rsidR="00C537EC" w:rsidRPr="00C537EC" w:rsidRDefault="00C537EC" w:rsidP="00C537EC">
      <w:pPr>
        <w:spacing w:after="0"/>
        <w:jc w:val="both"/>
        <w:rPr>
          <w:rFonts w:ascii="Telefonica Sans" w:eastAsia="Telefonica Sans" w:hAnsi="Telefonica Sans" w:cs="Telefonica Sans"/>
          <w:sz w:val="22"/>
          <w:szCs w:val="22"/>
          <w:lang w:val="es-ES"/>
        </w:rPr>
      </w:pPr>
    </w:p>
    <w:p w14:paraId="3FB6A736" w14:textId="77777777" w:rsidR="00C537EC" w:rsidRPr="00C537EC"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sz w:val="22"/>
          <w:szCs w:val="22"/>
          <w:lang w:val="es-ES"/>
        </w:rPr>
        <w:t>Since its opening, the programming campus has implemented 24 "pools," a 26-day in-person selection process where more than 3,350 candidates begin their journey, not only in the world of programming but also in a new, disruptive training model. To date, 1,555 applicants have successfully completed the pools, almost 25% of whom have been women.</w:t>
      </w:r>
    </w:p>
    <w:p w14:paraId="5D398E5E" w14:textId="77777777" w:rsidR="00C537EC" w:rsidRPr="00C537EC" w:rsidRDefault="00C537EC" w:rsidP="00C537EC">
      <w:pPr>
        <w:spacing w:after="0"/>
        <w:jc w:val="both"/>
        <w:rPr>
          <w:rFonts w:ascii="Telefonica Sans" w:eastAsia="Telefonica Sans" w:hAnsi="Telefonica Sans" w:cs="Telefonica Sans"/>
          <w:sz w:val="22"/>
          <w:szCs w:val="22"/>
          <w:lang w:val="es-ES"/>
        </w:rPr>
      </w:pPr>
    </w:p>
    <w:p w14:paraId="04179E7E" w14:textId="77777777" w:rsidR="00C537EC" w:rsidRPr="00C537EC"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sz w:val="22"/>
          <w:szCs w:val="22"/>
          <w:lang w:val="es-ES"/>
        </w:rPr>
        <w:lastRenderedPageBreak/>
        <w:t>Currently, 42 Barcelona has around 500 active students; nearly 24% of them are women, a higher percentage than that of undergraduate or advanced vocational training programs in computer science, which are 13% and 10% respectively, according to the Ministry of Education and Vocational Training.</w:t>
      </w:r>
    </w:p>
    <w:p w14:paraId="1928024C" w14:textId="77777777" w:rsidR="00C537EC" w:rsidRPr="00C537EC" w:rsidRDefault="00C537EC" w:rsidP="00C537EC">
      <w:pPr>
        <w:spacing w:after="0"/>
        <w:jc w:val="both"/>
        <w:rPr>
          <w:rFonts w:ascii="Telefonica Sans" w:eastAsia="Telefonica Sans" w:hAnsi="Telefonica Sans" w:cs="Telefonica Sans"/>
          <w:sz w:val="22"/>
          <w:szCs w:val="22"/>
          <w:lang w:val="es-ES"/>
        </w:rPr>
      </w:pPr>
    </w:p>
    <w:p w14:paraId="2EECCBC4" w14:textId="77777777" w:rsidR="00C537EC" w:rsidRPr="00C537EC"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sz w:val="22"/>
          <w:szCs w:val="22"/>
          <w:lang w:val="es-ES"/>
        </w:rPr>
        <w:t>As a hub for technological talent, in the five years since its inception, the campus has hosted over 1,000 events with approximately 33,500 participants; it has welcomed visits from nearly 200 educational institutions—roughly 60% of which are Vocational Training centers—and around 70 companies have hired individuals who have trained or are currently training on campus for their teams.</w:t>
      </w:r>
    </w:p>
    <w:p w14:paraId="4D51F3D8" w14:textId="77777777" w:rsidR="00C537EC" w:rsidRPr="00C537EC" w:rsidRDefault="00C537EC" w:rsidP="00C537EC">
      <w:pPr>
        <w:spacing w:after="0"/>
        <w:jc w:val="both"/>
        <w:rPr>
          <w:rFonts w:ascii="Telefonica Sans" w:eastAsia="Telefonica Sans" w:hAnsi="Telefonica Sans" w:cs="Telefonica Sans"/>
          <w:sz w:val="22"/>
          <w:szCs w:val="22"/>
          <w:lang w:val="es-ES"/>
        </w:rPr>
      </w:pPr>
    </w:p>
    <w:p w14:paraId="5C0496E9" w14:textId="77777777" w:rsidR="00C537EC" w:rsidRPr="00C537EC"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sz w:val="22"/>
          <w:szCs w:val="22"/>
          <w:lang w:val="es-ES"/>
        </w:rPr>
        <w:t>In 2025, 42's educational model was recognized by the WURI ranking as the third most innovative university in the world, ahead of prestigious institutions such as Princeton and Harvard, improving and consolidating its position in this ranking for the fifth consecutive year. The project currently boasts over 50 campuses across five continents and more than 21,000 students who, under a free, disruptive, and practical educational model, are training to become the digital talent that will develop future technologies.</w:t>
      </w:r>
    </w:p>
    <w:p w14:paraId="371E42A2" w14:textId="77777777" w:rsidR="00C537EC" w:rsidRPr="00C537EC" w:rsidRDefault="00C537EC" w:rsidP="00C537EC">
      <w:pPr>
        <w:spacing w:after="0"/>
        <w:jc w:val="both"/>
        <w:rPr>
          <w:rFonts w:ascii="Telefonica Sans" w:eastAsia="Telefonica Sans" w:hAnsi="Telefonica Sans" w:cs="Telefonica Sans"/>
          <w:sz w:val="22"/>
          <w:szCs w:val="22"/>
          <w:lang w:val="es-ES"/>
        </w:rPr>
      </w:pPr>
    </w:p>
    <w:p w14:paraId="60FF6865" w14:textId="1EEF2076" w:rsidR="00A7078F" w:rsidRPr="00C537EC" w:rsidRDefault="00C537EC" w:rsidP="00C537EC">
      <w:pPr>
        <w:spacing w:after="0"/>
        <w:jc w:val="both"/>
        <w:rPr>
          <w:rFonts w:ascii="Telefonica Sans" w:eastAsia="Telefonica Sans" w:hAnsi="Telefonica Sans" w:cs="Telefonica Sans"/>
          <w:sz w:val="22"/>
          <w:szCs w:val="22"/>
          <w:lang w:val="es-ES"/>
        </w:rPr>
      </w:pPr>
      <w:r w:rsidRPr="00C537EC">
        <w:rPr>
          <w:rFonts w:ascii="Telefonica Sans" w:eastAsia="Telefonica Sans" w:hAnsi="Telefonica Sans" w:cs="Telefonica Sans"/>
          <w:sz w:val="22"/>
          <w:szCs w:val="22"/>
          <w:lang w:val="es-ES"/>
        </w:rPr>
        <w:t>The renewal of this agreement reinforces the commitment of Fundación Telefónica, Barcelona City Council and the Government of Catalonia to promote 42 Barcelona as a center of reference for people to acquire new knowledge and skills that allow them to start their professional career or remain active in the labor market, thus generating a positive social and economic impact.</w:t>
      </w:r>
    </w:p>
    <w:p w14:paraId="58904392" w14:textId="77777777" w:rsidR="00157DE0" w:rsidRDefault="00157DE0" w:rsidP="0058052A">
      <w:pPr>
        <w:shd w:val="clear" w:color="auto" w:fill="FFFFFF" w:themeFill="background1"/>
        <w:spacing w:after="0"/>
        <w:rPr>
          <w:lang w:val="es-ES"/>
        </w:rPr>
      </w:pPr>
    </w:p>
    <w:p w14:paraId="2665DEE7" w14:textId="77777777" w:rsidR="00157DE0" w:rsidRDefault="00157DE0" w:rsidP="0058052A">
      <w:pPr>
        <w:shd w:val="clear" w:color="auto" w:fill="FFFFFF" w:themeFill="background1"/>
        <w:spacing w:after="0"/>
        <w:rPr>
          <w:lang w:val="es-ES"/>
        </w:rPr>
      </w:pPr>
    </w:p>
    <w:p w14:paraId="2C078E63" w14:textId="1A8419FC" w:rsidR="00EB70C1" w:rsidRPr="007A59D5" w:rsidRDefault="00EB70C1" w:rsidP="2A782161">
      <w:pPr>
        <w:rPr>
          <w:rFonts w:ascii="Telefonica Sans" w:eastAsia="Telefonica Sans" w:hAnsi="Telefonica Sans" w:cs="Telefonica Sans"/>
          <w:lang w:val="pt-PT"/>
        </w:rPr>
      </w:pPr>
    </w:p>
    <w:sectPr w:rsidR="00EB70C1" w:rsidRPr="007A59D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7CB1" w14:textId="77777777" w:rsidR="00DE1E27" w:rsidRDefault="00DE1E27">
      <w:pPr>
        <w:spacing w:after="0" w:line="240" w:lineRule="auto"/>
      </w:pPr>
      <w:r>
        <w:separator/>
      </w:r>
    </w:p>
  </w:endnote>
  <w:endnote w:type="continuationSeparator" w:id="0">
    <w:p w14:paraId="5FF2C083" w14:textId="77777777" w:rsidR="00DE1E27" w:rsidRDefault="00DE1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elefonica Sans">
    <w:panose1 w:val="02000003020000060003"/>
    <w:charset w:val="00"/>
    <w:family w:val="auto"/>
    <w:notTrueType/>
    <w:pitch w:val="variable"/>
    <w:sig w:usb0="A000027F" w:usb1="5000A4F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782161" w14:paraId="28785B1D" w14:textId="77777777" w:rsidTr="2A782161">
      <w:trPr>
        <w:trHeight w:val="300"/>
      </w:trPr>
      <w:tc>
        <w:tcPr>
          <w:tcW w:w="3120" w:type="dxa"/>
        </w:tcPr>
        <w:p w14:paraId="603F64F6" w14:textId="52FBE435" w:rsidR="2A782161" w:rsidRDefault="2A782161" w:rsidP="2A782161">
          <w:pPr>
            <w:pStyle w:val="Encabezado"/>
            <w:ind w:left="-115"/>
          </w:pPr>
        </w:p>
      </w:tc>
      <w:tc>
        <w:tcPr>
          <w:tcW w:w="3120" w:type="dxa"/>
        </w:tcPr>
        <w:p w14:paraId="6FD07C1F" w14:textId="0D7958A1" w:rsidR="2A782161" w:rsidRDefault="2A782161" w:rsidP="2A782161">
          <w:pPr>
            <w:pStyle w:val="Encabezado"/>
            <w:jc w:val="center"/>
          </w:pPr>
        </w:p>
      </w:tc>
      <w:tc>
        <w:tcPr>
          <w:tcW w:w="3120" w:type="dxa"/>
        </w:tcPr>
        <w:p w14:paraId="3BC7C478" w14:textId="410AB0EF" w:rsidR="2A782161" w:rsidRDefault="2A782161" w:rsidP="2A782161">
          <w:pPr>
            <w:pStyle w:val="Encabezado"/>
            <w:ind w:right="-115"/>
            <w:jc w:val="right"/>
          </w:pPr>
        </w:p>
      </w:tc>
    </w:tr>
  </w:tbl>
  <w:p w14:paraId="290EF24C" w14:textId="673E1907" w:rsidR="2A782161" w:rsidRDefault="2A782161" w:rsidP="2A7821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5760" w14:textId="77777777" w:rsidR="00DE1E27" w:rsidRDefault="00DE1E27">
      <w:pPr>
        <w:spacing w:after="0" w:line="240" w:lineRule="auto"/>
      </w:pPr>
      <w:r>
        <w:separator/>
      </w:r>
    </w:p>
  </w:footnote>
  <w:footnote w:type="continuationSeparator" w:id="0">
    <w:p w14:paraId="09FE9680" w14:textId="77777777" w:rsidR="00DE1E27" w:rsidRDefault="00DE1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663E" w14:textId="684CDCCA" w:rsidR="00DA2391" w:rsidRDefault="00DA2391" w:rsidP="00DA2391">
    <w:pPr>
      <w:pStyle w:val="Encabezado"/>
      <w:rPr>
        <w:lang w:val="es-ES_tradnl"/>
      </w:rPr>
    </w:pPr>
  </w:p>
  <w:p w14:paraId="2AF4AF57" w14:textId="5D5F9CBF" w:rsidR="00DA2391" w:rsidRDefault="006E008E" w:rsidP="002B61FD">
    <w:pPr>
      <w:pStyle w:val="Encabezado"/>
      <w:jc w:val="right"/>
      <w:rPr>
        <w:lang w:val="es-ES_tradnl"/>
      </w:rPr>
    </w:pPr>
    <w:r>
      <w:rPr>
        <w:noProof/>
        <w:lang w:val="es-ES_tradnl"/>
      </w:rPr>
      <w:drawing>
        <wp:anchor distT="0" distB="0" distL="114300" distR="114300" simplePos="0" relativeHeight="251658241" behindDoc="1" locked="0" layoutInCell="1" allowOverlap="1" wp14:anchorId="7445B740" wp14:editId="4B5792A6">
          <wp:simplePos x="0" y="0"/>
          <wp:positionH relativeFrom="column">
            <wp:posOffset>2303518</wp:posOffset>
          </wp:positionH>
          <wp:positionV relativeFrom="paragraph">
            <wp:posOffset>155766</wp:posOffset>
          </wp:positionV>
          <wp:extent cx="1130400" cy="288000"/>
          <wp:effectExtent l="0" t="0" r="0" b="4445"/>
          <wp:wrapTight wrapText="bothSides">
            <wp:wrapPolygon edited="0">
              <wp:start x="0" y="0"/>
              <wp:lineTo x="0" y="20980"/>
              <wp:lineTo x="21357" y="20980"/>
              <wp:lineTo x="21357" y="0"/>
              <wp:lineTo x="0" y="0"/>
            </wp:wrapPolygon>
          </wp:wrapTight>
          <wp:docPr id="2109583580" name="Imagen 1"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83580" name="Imagen 1" descr="Un dibujo de una cara feliz&#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30400" cy="28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7B915D9B" wp14:editId="4C5CD21A">
          <wp:simplePos x="0" y="0"/>
          <wp:positionH relativeFrom="column">
            <wp:posOffset>4533265</wp:posOffset>
          </wp:positionH>
          <wp:positionV relativeFrom="paragraph">
            <wp:posOffset>155575</wp:posOffset>
          </wp:positionV>
          <wp:extent cx="1322705" cy="332105"/>
          <wp:effectExtent l="0" t="0" r="0" b="0"/>
          <wp:wrapTight wrapText="bothSides">
            <wp:wrapPolygon edited="0">
              <wp:start x="0" y="0"/>
              <wp:lineTo x="0" y="20650"/>
              <wp:lineTo x="18458" y="20650"/>
              <wp:lineTo x="19910" y="20650"/>
              <wp:lineTo x="21361" y="20650"/>
              <wp:lineTo x="21361" y="3304"/>
              <wp:lineTo x="18251" y="826"/>
              <wp:lineTo x="4563" y="0"/>
              <wp:lineTo x="0" y="0"/>
            </wp:wrapPolygon>
          </wp:wrapTight>
          <wp:docPr id="1092709972" name="Imagen 2" descr="Català. Identitat corpo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alà. Identitat corporati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2705" cy="33210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"https://identitatcorporativa.gencat.cat/web/.content/Documentacio/descarregues/identificacio/BN/idbh_cat_bn.png" \* MERGEFORMATINET </w:instrText>
    </w:r>
    <w:r>
      <w:fldChar w:fldCharType="separate"/>
    </w:r>
    <w:r>
      <w:fldChar w:fldCharType="end"/>
    </w:r>
    <w:r w:rsidR="00DA2391" w:rsidRPr="00327EB5">
      <w:rPr>
        <w:noProof/>
      </w:rPr>
      <w:drawing>
        <wp:anchor distT="0" distB="0" distL="114300" distR="114300" simplePos="0" relativeHeight="251658240" behindDoc="1" locked="0" layoutInCell="1" allowOverlap="1" wp14:anchorId="36807934" wp14:editId="07098A21">
          <wp:simplePos x="0" y="0"/>
          <wp:positionH relativeFrom="column">
            <wp:posOffset>-138989</wp:posOffset>
          </wp:positionH>
          <wp:positionV relativeFrom="paragraph">
            <wp:posOffset>70892</wp:posOffset>
          </wp:positionV>
          <wp:extent cx="1195200" cy="468000"/>
          <wp:effectExtent l="0" t="0" r="0" b="0"/>
          <wp:wrapTight wrapText="bothSides">
            <wp:wrapPolygon edited="0">
              <wp:start x="1607" y="2345"/>
              <wp:lineTo x="689" y="5275"/>
              <wp:lineTo x="918" y="7034"/>
              <wp:lineTo x="2984" y="12896"/>
              <wp:lineTo x="2755" y="14654"/>
              <wp:lineTo x="2984" y="16999"/>
              <wp:lineTo x="3214" y="18171"/>
              <wp:lineTo x="4361" y="18171"/>
              <wp:lineTo x="18593" y="16999"/>
              <wp:lineTo x="20200" y="16412"/>
              <wp:lineTo x="19511" y="12896"/>
              <wp:lineTo x="20429" y="5862"/>
              <wp:lineTo x="17445" y="4103"/>
              <wp:lineTo x="5968" y="2345"/>
              <wp:lineTo x="1607" y="2345"/>
            </wp:wrapPolygon>
          </wp:wrapTight>
          <wp:docPr id="88028635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86359" name="Imagen 1" descr="Text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195200" cy="468000"/>
                  </a:xfrm>
                  <a:prstGeom prst="rect">
                    <a:avLst/>
                  </a:prstGeom>
                </pic:spPr>
              </pic:pic>
            </a:graphicData>
          </a:graphic>
          <wp14:sizeRelH relativeFrom="page">
            <wp14:pctWidth>0</wp14:pctWidth>
          </wp14:sizeRelH>
          <wp14:sizeRelV relativeFrom="page">
            <wp14:pctHeight>0</wp14:pctHeight>
          </wp14:sizeRelV>
        </wp:anchor>
      </w:drawing>
    </w:r>
  </w:p>
  <w:p w14:paraId="36FE7956" w14:textId="700C81AB" w:rsidR="00DA2391" w:rsidRDefault="00DA2391" w:rsidP="00DA2391">
    <w:pPr>
      <w:pStyle w:val="Encabezado"/>
      <w:rPr>
        <w:lang w:val="es-ES_tradnl"/>
      </w:rPr>
    </w:pPr>
  </w:p>
  <w:p w14:paraId="161309E9" w14:textId="751D25EB" w:rsidR="00DA2391" w:rsidRDefault="00DA2391" w:rsidP="00DA2391">
    <w:pPr>
      <w:pStyle w:val="Encabezado"/>
      <w:rPr>
        <w:lang w:val="es-ES_tradnl"/>
      </w:rPr>
    </w:pPr>
  </w:p>
  <w:p w14:paraId="2A8ABE58" w14:textId="46480771" w:rsidR="00DA2391" w:rsidRDefault="00DA2391" w:rsidP="00DA2391">
    <w:pPr>
      <w:pStyle w:val="Encabezado"/>
      <w:rPr>
        <w:lang w:val="es-ES_tradnl"/>
      </w:rPr>
    </w:pPr>
  </w:p>
  <w:p w14:paraId="42A260BF" w14:textId="399F3851" w:rsidR="2A782161" w:rsidRPr="00DA2391" w:rsidRDefault="2A782161" w:rsidP="00DA2391">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2BE44"/>
    <w:multiLevelType w:val="hybridMultilevel"/>
    <w:tmpl w:val="4276192E"/>
    <w:lvl w:ilvl="0" w:tplc="5E64A8E4">
      <w:start w:val="1"/>
      <w:numFmt w:val="bullet"/>
      <w:lvlText w:val="·"/>
      <w:lvlJc w:val="left"/>
      <w:pPr>
        <w:ind w:left="720" w:hanging="360"/>
      </w:pPr>
      <w:rPr>
        <w:rFonts w:ascii="Symbol" w:hAnsi="Symbol" w:hint="default"/>
      </w:rPr>
    </w:lvl>
    <w:lvl w:ilvl="1" w:tplc="D5C230E6">
      <w:start w:val="1"/>
      <w:numFmt w:val="bullet"/>
      <w:lvlText w:val="o"/>
      <w:lvlJc w:val="left"/>
      <w:pPr>
        <w:ind w:left="1440" w:hanging="360"/>
      </w:pPr>
      <w:rPr>
        <w:rFonts w:ascii="Courier New" w:hAnsi="Courier New" w:hint="default"/>
      </w:rPr>
    </w:lvl>
    <w:lvl w:ilvl="2" w:tplc="2D4E72E8">
      <w:start w:val="1"/>
      <w:numFmt w:val="bullet"/>
      <w:lvlText w:val=""/>
      <w:lvlJc w:val="left"/>
      <w:pPr>
        <w:ind w:left="2160" w:hanging="360"/>
      </w:pPr>
      <w:rPr>
        <w:rFonts w:ascii="Wingdings" w:hAnsi="Wingdings" w:hint="default"/>
      </w:rPr>
    </w:lvl>
    <w:lvl w:ilvl="3" w:tplc="A0B4C462">
      <w:start w:val="1"/>
      <w:numFmt w:val="bullet"/>
      <w:lvlText w:val=""/>
      <w:lvlJc w:val="left"/>
      <w:pPr>
        <w:ind w:left="2880" w:hanging="360"/>
      </w:pPr>
      <w:rPr>
        <w:rFonts w:ascii="Symbol" w:hAnsi="Symbol" w:hint="default"/>
      </w:rPr>
    </w:lvl>
    <w:lvl w:ilvl="4" w:tplc="58E0F712">
      <w:start w:val="1"/>
      <w:numFmt w:val="bullet"/>
      <w:lvlText w:val="o"/>
      <w:lvlJc w:val="left"/>
      <w:pPr>
        <w:ind w:left="3600" w:hanging="360"/>
      </w:pPr>
      <w:rPr>
        <w:rFonts w:ascii="Courier New" w:hAnsi="Courier New" w:hint="default"/>
      </w:rPr>
    </w:lvl>
    <w:lvl w:ilvl="5" w:tplc="3A50783C">
      <w:start w:val="1"/>
      <w:numFmt w:val="bullet"/>
      <w:lvlText w:val=""/>
      <w:lvlJc w:val="left"/>
      <w:pPr>
        <w:ind w:left="4320" w:hanging="360"/>
      </w:pPr>
      <w:rPr>
        <w:rFonts w:ascii="Wingdings" w:hAnsi="Wingdings" w:hint="default"/>
      </w:rPr>
    </w:lvl>
    <w:lvl w:ilvl="6" w:tplc="FF2E4DDE">
      <w:start w:val="1"/>
      <w:numFmt w:val="bullet"/>
      <w:lvlText w:val=""/>
      <w:lvlJc w:val="left"/>
      <w:pPr>
        <w:ind w:left="5040" w:hanging="360"/>
      </w:pPr>
      <w:rPr>
        <w:rFonts w:ascii="Symbol" w:hAnsi="Symbol" w:hint="default"/>
      </w:rPr>
    </w:lvl>
    <w:lvl w:ilvl="7" w:tplc="B2308AD0">
      <w:start w:val="1"/>
      <w:numFmt w:val="bullet"/>
      <w:lvlText w:val="o"/>
      <w:lvlJc w:val="left"/>
      <w:pPr>
        <w:ind w:left="5760" w:hanging="360"/>
      </w:pPr>
      <w:rPr>
        <w:rFonts w:ascii="Courier New" w:hAnsi="Courier New" w:hint="default"/>
      </w:rPr>
    </w:lvl>
    <w:lvl w:ilvl="8" w:tplc="E208CEEE">
      <w:start w:val="1"/>
      <w:numFmt w:val="bullet"/>
      <w:lvlText w:val=""/>
      <w:lvlJc w:val="left"/>
      <w:pPr>
        <w:ind w:left="6480" w:hanging="360"/>
      </w:pPr>
      <w:rPr>
        <w:rFonts w:ascii="Wingdings" w:hAnsi="Wingdings" w:hint="default"/>
      </w:rPr>
    </w:lvl>
  </w:abstractNum>
  <w:abstractNum w:abstractNumId="1" w15:restartNumberingAfterBreak="0">
    <w:nsid w:val="6A580A49"/>
    <w:multiLevelType w:val="multilevel"/>
    <w:tmpl w:val="ABFED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F23F2D"/>
    <w:multiLevelType w:val="hybridMultilevel"/>
    <w:tmpl w:val="C35A0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9652849">
    <w:abstractNumId w:val="0"/>
  </w:num>
  <w:num w:numId="2" w16cid:durableId="2019111935">
    <w:abstractNumId w:val="2"/>
  </w:num>
  <w:num w:numId="3" w16cid:durableId="1251038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F4C93C"/>
    <w:rsid w:val="000075AB"/>
    <w:rsid w:val="00055587"/>
    <w:rsid w:val="0006553E"/>
    <w:rsid w:val="00077C44"/>
    <w:rsid w:val="000B1519"/>
    <w:rsid w:val="000F2FC0"/>
    <w:rsid w:val="00124AA2"/>
    <w:rsid w:val="0012568D"/>
    <w:rsid w:val="0014736F"/>
    <w:rsid w:val="00157DE0"/>
    <w:rsid w:val="00196339"/>
    <w:rsid w:val="001A44E3"/>
    <w:rsid w:val="001C3E3F"/>
    <w:rsid w:val="001F7E5A"/>
    <w:rsid w:val="00215D1C"/>
    <w:rsid w:val="0023013A"/>
    <w:rsid w:val="00230A18"/>
    <w:rsid w:val="0023247E"/>
    <w:rsid w:val="0025013E"/>
    <w:rsid w:val="00252BBD"/>
    <w:rsid w:val="00260A50"/>
    <w:rsid w:val="002647AB"/>
    <w:rsid w:val="00264C9A"/>
    <w:rsid w:val="00274338"/>
    <w:rsid w:val="00280983"/>
    <w:rsid w:val="002922A3"/>
    <w:rsid w:val="002B61FD"/>
    <w:rsid w:val="002C0760"/>
    <w:rsid w:val="00307BE0"/>
    <w:rsid w:val="00314EE8"/>
    <w:rsid w:val="00387F2F"/>
    <w:rsid w:val="003A6872"/>
    <w:rsid w:val="003D7F17"/>
    <w:rsid w:val="003E0166"/>
    <w:rsid w:val="003E0D0D"/>
    <w:rsid w:val="003E26E7"/>
    <w:rsid w:val="003E5CCD"/>
    <w:rsid w:val="00400B90"/>
    <w:rsid w:val="004078E9"/>
    <w:rsid w:val="004159FC"/>
    <w:rsid w:val="00434D9D"/>
    <w:rsid w:val="00437250"/>
    <w:rsid w:val="0045231E"/>
    <w:rsid w:val="00492B78"/>
    <w:rsid w:val="004C3625"/>
    <w:rsid w:val="004D5F67"/>
    <w:rsid w:val="00502C19"/>
    <w:rsid w:val="005035D7"/>
    <w:rsid w:val="00521373"/>
    <w:rsid w:val="00536DD8"/>
    <w:rsid w:val="00553BD1"/>
    <w:rsid w:val="00561AFB"/>
    <w:rsid w:val="00567DFC"/>
    <w:rsid w:val="0058052A"/>
    <w:rsid w:val="00597182"/>
    <w:rsid w:val="005C506C"/>
    <w:rsid w:val="005D79F4"/>
    <w:rsid w:val="00650103"/>
    <w:rsid w:val="0066371A"/>
    <w:rsid w:val="006A512C"/>
    <w:rsid w:val="006A5B8A"/>
    <w:rsid w:val="006C0C70"/>
    <w:rsid w:val="006C2C74"/>
    <w:rsid w:val="006D7694"/>
    <w:rsid w:val="006E008E"/>
    <w:rsid w:val="00706E25"/>
    <w:rsid w:val="00725523"/>
    <w:rsid w:val="00786DF3"/>
    <w:rsid w:val="007A59D5"/>
    <w:rsid w:val="007C056B"/>
    <w:rsid w:val="007C73BF"/>
    <w:rsid w:val="007D346C"/>
    <w:rsid w:val="007E23CB"/>
    <w:rsid w:val="007E61AD"/>
    <w:rsid w:val="0080207D"/>
    <w:rsid w:val="00810216"/>
    <w:rsid w:val="0081433D"/>
    <w:rsid w:val="0082558A"/>
    <w:rsid w:val="00844CC9"/>
    <w:rsid w:val="00860B92"/>
    <w:rsid w:val="00861F79"/>
    <w:rsid w:val="00884097"/>
    <w:rsid w:val="008B029E"/>
    <w:rsid w:val="008C5BCB"/>
    <w:rsid w:val="008D6D7A"/>
    <w:rsid w:val="00905CC2"/>
    <w:rsid w:val="00917DD0"/>
    <w:rsid w:val="00921336"/>
    <w:rsid w:val="009366BD"/>
    <w:rsid w:val="0095014E"/>
    <w:rsid w:val="00955B8E"/>
    <w:rsid w:val="0095A2DE"/>
    <w:rsid w:val="009622C3"/>
    <w:rsid w:val="009907E4"/>
    <w:rsid w:val="009B9894"/>
    <w:rsid w:val="009C48D9"/>
    <w:rsid w:val="009F06F5"/>
    <w:rsid w:val="009F1C5D"/>
    <w:rsid w:val="00A01CB4"/>
    <w:rsid w:val="00A05102"/>
    <w:rsid w:val="00A17A61"/>
    <w:rsid w:val="00A53019"/>
    <w:rsid w:val="00A7078F"/>
    <w:rsid w:val="00A736B8"/>
    <w:rsid w:val="00A744C1"/>
    <w:rsid w:val="00A86A8D"/>
    <w:rsid w:val="00A87A50"/>
    <w:rsid w:val="00A97F47"/>
    <w:rsid w:val="00AA268F"/>
    <w:rsid w:val="00AA3CD9"/>
    <w:rsid w:val="00AC23D8"/>
    <w:rsid w:val="00AD032A"/>
    <w:rsid w:val="00B0368F"/>
    <w:rsid w:val="00B236A0"/>
    <w:rsid w:val="00B26D25"/>
    <w:rsid w:val="00B36A4F"/>
    <w:rsid w:val="00BA6AAA"/>
    <w:rsid w:val="00BC0B5C"/>
    <w:rsid w:val="00BC378F"/>
    <w:rsid w:val="00BD355E"/>
    <w:rsid w:val="00BE7535"/>
    <w:rsid w:val="00C22A8D"/>
    <w:rsid w:val="00C33E82"/>
    <w:rsid w:val="00C35A37"/>
    <w:rsid w:val="00C43056"/>
    <w:rsid w:val="00C47A0D"/>
    <w:rsid w:val="00C537EC"/>
    <w:rsid w:val="00C57AC1"/>
    <w:rsid w:val="00C80F7A"/>
    <w:rsid w:val="00CB7A59"/>
    <w:rsid w:val="00CD310C"/>
    <w:rsid w:val="00CD7020"/>
    <w:rsid w:val="00CE6E21"/>
    <w:rsid w:val="00CF5A8A"/>
    <w:rsid w:val="00D03C87"/>
    <w:rsid w:val="00D31EAD"/>
    <w:rsid w:val="00D72644"/>
    <w:rsid w:val="00D74CCB"/>
    <w:rsid w:val="00DA2391"/>
    <w:rsid w:val="00DB11E8"/>
    <w:rsid w:val="00DB6867"/>
    <w:rsid w:val="00DB6E3D"/>
    <w:rsid w:val="00DE05A3"/>
    <w:rsid w:val="00DE1E27"/>
    <w:rsid w:val="00E02B16"/>
    <w:rsid w:val="00E17501"/>
    <w:rsid w:val="00E227F2"/>
    <w:rsid w:val="00E229A2"/>
    <w:rsid w:val="00E42E7C"/>
    <w:rsid w:val="00E55CE0"/>
    <w:rsid w:val="00E94FE1"/>
    <w:rsid w:val="00E950E8"/>
    <w:rsid w:val="00E97EBE"/>
    <w:rsid w:val="00EA73C4"/>
    <w:rsid w:val="00EB70C1"/>
    <w:rsid w:val="00EC2B2D"/>
    <w:rsid w:val="00EE149B"/>
    <w:rsid w:val="00EE1E41"/>
    <w:rsid w:val="00EF355D"/>
    <w:rsid w:val="00EF3BF5"/>
    <w:rsid w:val="00F15BEF"/>
    <w:rsid w:val="00F3687F"/>
    <w:rsid w:val="00F6120F"/>
    <w:rsid w:val="00F6746D"/>
    <w:rsid w:val="00F834F7"/>
    <w:rsid w:val="00F83563"/>
    <w:rsid w:val="00F91353"/>
    <w:rsid w:val="00F954CB"/>
    <w:rsid w:val="00FA7D8A"/>
    <w:rsid w:val="00FE757D"/>
    <w:rsid w:val="00FF26AB"/>
    <w:rsid w:val="020389F2"/>
    <w:rsid w:val="02288514"/>
    <w:rsid w:val="02AF9568"/>
    <w:rsid w:val="02C1BC9C"/>
    <w:rsid w:val="03DA4E0D"/>
    <w:rsid w:val="03F55AB7"/>
    <w:rsid w:val="04167068"/>
    <w:rsid w:val="055D703E"/>
    <w:rsid w:val="05BAB5EE"/>
    <w:rsid w:val="0836548D"/>
    <w:rsid w:val="088C08C6"/>
    <w:rsid w:val="089329CC"/>
    <w:rsid w:val="08F2709D"/>
    <w:rsid w:val="08F97800"/>
    <w:rsid w:val="093DAE62"/>
    <w:rsid w:val="0A89516B"/>
    <w:rsid w:val="0B9C287F"/>
    <w:rsid w:val="0BF97AF4"/>
    <w:rsid w:val="0C2985AF"/>
    <w:rsid w:val="0E2078FE"/>
    <w:rsid w:val="0E73151E"/>
    <w:rsid w:val="0EA2ADB3"/>
    <w:rsid w:val="0F2B3B73"/>
    <w:rsid w:val="0F709061"/>
    <w:rsid w:val="0FB64FD2"/>
    <w:rsid w:val="0FCDA190"/>
    <w:rsid w:val="10209FBF"/>
    <w:rsid w:val="103AAB0B"/>
    <w:rsid w:val="10552C55"/>
    <w:rsid w:val="10C73294"/>
    <w:rsid w:val="113E06E4"/>
    <w:rsid w:val="12532C60"/>
    <w:rsid w:val="1256E46F"/>
    <w:rsid w:val="138BDD68"/>
    <w:rsid w:val="1476FBE1"/>
    <w:rsid w:val="14EB1577"/>
    <w:rsid w:val="15157D67"/>
    <w:rsid w:val="165381BB"/>
    <w:rsid w:val="1824B106"/>
    <w:rsid w:val="188B334A"/>
    <w:rsid w:val="1B8165BF"/>
    <w:rsid w:val="1BF91EBF"/>
    <w:rsid w:val="1CA74DE9"/>
    <w:rsid w:val="1CFBD6DF"/>
    <w:rsid w:val="1D4244B9"/>
    <w:rsid w:val="1E04BDD4"/>
    <w:rsid w:val="1F4F28C7"/>
    <w:rsid w:val="1F866187"/>
    <w:rsid w:val="1F95E4A3"/>
    <w:rsid w:val="2008843F"/>
    <w:rsid w:val="20AF9BB5"/>
    <w:rsid w:val="20BE0556"/>
    <w:rsid w:val="22F4C93C"/>
    <w:rsid w:val="23F5686E"/>
    <w:rsid w:val="2498BAFE"/>
    <w:rsid w:val="24B7C699"/>
    <w:rsid w:val="250645AF"/>
    <w:rsid w:val="256F0A06"/>
    <w:rsid w:val="2595DE71"/>
    <w:rsid w:val="264CF8CE"/>
    <w:rsid w:val="2747EDA9"/>
    <w:rsid w:val="2798B02C"/>
    <w:rsid w:val="27A01CD6"/>
    <w:rsid w:val="2A782161"/>
    <w:rsid w:val="2CD48139"/>
    <w:rsid w:val="2D0FABF6"/>
    <w:rsid w:val="2D484E80"/>
    <w:rsid w:val="2E63D261"/>
    <w:rsid w:val="2E91B0C5"/>
    <w:rsid w:val="2F8130FB"/>
    <w:rsid w:val="2F910EDA"/>
    <w:rsid w:val="3079CC3D"/>
    <w:rsid w:val="3084AC81"/>
    <w:rsid w:val="33061DA7"/>
    <w:rsid w:val="3428C28D"/>
    <w:rsid w:val="3432129D"/>
    <w:rsid w:val="344D750F"/>
    <w:rsid w:val="349A090C"/>
    <w:rsid w:val="34FD3E11"/>
    <w:rsid w:val="3643E2AA"/>
    <w:rsid w:val="388E06AC"/>
    <w:rsid w:val="3954742C"/>
    <w:rsid w:val="3A87810E"/>
    <w:rsid w:val="3B14B524"/>
    <w:rsid w:val="3B99A141"/>
    <w:rsid w:val="3C200A03"/>
    <w:rsid w:val="3D5442A1"/>
    <w:rsid w:val="3FC7ABA2"/>
    <w:rsid w:val="43343382"/>
    <w:rsid w:val="44E964F9"/>
    <w:rsid w:val="467B0674"/>
    <w:rsid w:val="467B44A6"/>
    <w:rsid w:val="47764518"/>
    <w:rsid w:val="480D9B12"/>
    <w:rsid w:val="48880DB8"/>
    <w:rsid w:val="499B978C"/>
    <w:rsid w:val="4B621C38"/>
    <w:rsid w:val="4D424C91"/>
    <w:rsid w:val="4D8D568E"/>
    <w:rsid w:val="4EC8E576"/>
    <w:rsid w:val="4FC56D80"/>
    <w:rsid w:val="4FD4D8A2"/>
    <w:rsid w:val="50230664"/>
    <w:rsid w:val="5285BAF7"/>
    <w:rsid w:val="53AD5743"/>
    <w:rsid w:val="555F273E"/>
    <w:rsid w:val="55738E8D"/>
    <w:rsid w:val="572878A2"/>
    <w:rsid w:val="57B5807D"/>
    <w:rsid w:val="582D42F6"/>
    <w:rsid w:val="5A0A9DBB"/>
    <w:rsid w:val="5B342F35"/>
    <w:rsid w:val="5B50E65B"/>
    <w:rsid w:val="5B8805B2"/>
    <w:rsid w:val="5D47A2FE"/>
    <w:rsid w:val="5DDFAAB1"/>
    <w:rsid w:val="5F35D402"/>
    <w:rsid w:val="6008DDC8"/>
    <w:rsid w:val="62291AD6"/>
    <w:rsid w:val="63389D8E"/>
    <w:rsid w:val="64C89204"/>
    <w:rsid w:val="659F39F7"/>
    <w:rsid w:val="65C20BBA"/>
    <w:rsid w:val="6703CDB4"/>
    <w:rsid w:val="67106393"/>
    <w:rsid w:val="67B7B146"/>
    <w:rsid w:val="683097CA"/>
    <w:rsid w:val="6872D617"/>
    <w:rsid w:val="6AEAF1BB"/>
    <w:rsid w:val="6C6925C8"/>
    <w:rsid w:val="6D721F9A"/>
    <w:rsid w:val="6DB042DF"/>
    <w:rsid w:val="6F38D7A9"/>
    <w:rsid w:val="7080C510"/>
    <w:rsid w:val="717FE197"/>
    <w:rsid w:val="71E77A0B"/>
    <w:rsid w:val="72C626D1"/>
    <w:rsid w:val="73B34A77"/>
    <w:rsid w:val="73C3FEF2"/>
    <w:rsid w:val="75ADBAA1"/>
    <w:rsid w:val="768EDE83"/>
    <w:rsid w:val="76FDCA83"/>
    <w:rsid w:val="77EC7874"/>
    <w:rsid w:val="78F12E10"/>
    <w:rsid w:val="7A1206A0"/>
    <w:rsid w:val="7B5748C6"/>
    <w:rsid w:val="7B971C2D"/>
    <w:rsid w:val="7C761605"/>
    <w:rsid w:val="7C9EC705"/>
    <w:rsid w:val="7E3122FF"/>
    <w:rsid w:val="7EB2CB6A"/>
    <w:rsid w:val="7EDD321F"/>
    <w:rsid w:val="7FB34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4C93C"/>
  <w15:chartTrackingRefBased/>
  <w15:docId w15:val="{A9E05F08-A40D-4A93-AAAE-443610CF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Pr>
      <w:rFonts w:eastAsiaTheme="majorEastAsia" w:cstheme="majorBidi"/>
      <w:color w:val="0F4761" w:themeColor="accent1" w:themeShade="BF"/>
    </w:rPr>
  </w:style>
  <w:style w:type="character" w:customStyle="1" w:styleId="Ttulo6Car">
    <w:name w:val="Título 6 Car"/>
    <w:basedOn w:val="Fuentedeprrafopredeter"/>
    <w:link w:val="Ttulo6"/>
    <w:uiPriority w:val="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Pr>
      <w:rFonts w:eastAsiaTheme="majorEastAsia" w:cstheme="majorBidi"/>
      <w:color w:val="595959" w:themeColor="text1" w:themeTint="A6"/>
    </w:rPr>
  </w:style>
  <w:style w:type="character" w:customStyle="1" w:styleId="Ttulo8Car">
    <w:name w:val="Título 8 Car"/>
    <w:basedOn w:val="Fuentedeprrafopredeter"/>
    <w:link w:val="Ttulo8"/>
    <w:uiPriority w:val="9"/>
    <w:rPr>
      <w:rFonts w:eastAsiaTheme="majorEastAsia" w:cstheme="majorBidi"/>
      <w:i/>
      <w:iCs/>
      <w:color w:val="272727" w:themeColor="text1" w:themeTint="D8"/>
    </w:rPr>
  </w:style>
  <w:style w:type="character" w:customStyle="1" w:styleId="Ttulo9Car">
    <w:name w:val="Título 9 Car"/>
    <w:basedOn w:val="Fuentedeprrafopredeter"/>
    <w:link w:val="Ttulo9"/>
    <w:uiPriority w:val="9"/>
    <w:rPr>
      <w:rFonts w:eastAsiaTheme="majorEastAsia" w:cstheme="majorBidi"/>
      <w:color w:val="272727" w:themeColor="text1" w:themeTint="D8"/>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customStyle="1" w:styleId="CitaCar">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destacadaCar">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paragraph" w:styleId="Prrafodelista">
    <w:name w:val="List Paragraph"/>
    <w:basedOn w:val="Normal"/>
    <w:uiPriority w:val="34"/>
    <w:qFormat/>
    <w:rsid w:val="2A782161"/>
    <w:pPr>
      <w:ind w:left="720"/>
      <w:contextualSpacing/>
    </w:pPr>
  </w:style>
  <w:style w:type="character" w:styleId="Hipervnculo">
    <w:name w:val="Hyperlink"/>
    <w:basedOn w:val="Fuentedeprrafopredeter"/>
    <w:uiPriority w:val="99"/>
    <w:unhideWhenUsed/>
    <w:rsid w:val="2A782161"/>
    <w:rPr>
      <w:color w:val="467886"/>
      <w:u w:val="single"/>
    </w:rPr>
  </w:style>
  <w:style w:type="paragraph" w:styleId="Encabezado">
    <w:name w:val="header"/>
    <w:basedOn w:val="Normal"/>
    <w:uiPriority w:val="99"/>
    <w:unhideWhenUsed/>
    <w:rsid w:val="2A782161"/>
    <w:pPr>
      <w:tabs>
        <w:tab w:val="center" w:pos="4680"/>
        <w:tab w:val="right" w:pos="9360"/>
      </w:tabs>
      <w:spacing w:after="0" w:line="240" w:lineRule="auto"/>
    </w:pPr>
  </w:style>
  <w:style w:type="paragraph" w:styleId="Piedepgina">
    <w:name w:val="footer"/>
    <w:basedOn w:val="Normal"/>
    <w:uiPriority w:val="99"/>
    <w:unhideWhenUsed/>
    <w:rsid w:val="2A782161"/>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0207D"/>
    <w:pPr>
      <w:spacing w:before="100" w:beforeAutospacing="1" w:after="100" w:afterAutospacing="1" w:line="240" w:lineRule="auto"/>
    </w:pPr>
    <w:rPr>
      <w:rFonts w:ascii="Times New Roman" w:eastAsia="Times New Roman" w:hAnsi="Times New Roman" w:cs="Times New Roman"/>
      <w:lang w:val="es-ES" w:eastAsia="es-ES_tradnl"/>
    </w:rPr>
  </w:style>
  <w:style w:type="character" w:customStyle="1" w:styleId="normaltextrun">
    <w:name w:val="normaltextrun"/>
    <w:basedOn w:val="Fuentedeprrafopredeter"/>
    <w:rsid w:val="0080207D"/>
  </w:style>
  <w:style w:type="character" w:customStyle="1" w:styleId="eop">
    <w:name w:val="eop"/>
    <w:basedOn w:val="Fuentedeprrafopredeter"/>
    <w:rsid w:val="0080207D"/>
  </w:style>
  <w:style w:type="character" w:styleId="Refdecomentario">
    <w:name w:val="annotation reference"/>
    <w:basedOn w:val="Fuentedeprrafopredeter"/>
    <w:uiPriority w:val="99"/>
    <w:semiHidden/>
    <w:unhideWhenUsed/>
    <w:rsid w:val="00077C44"/>
    <w:rPr>
      <w:sz w:val="16"/>
      <w:szCs w:val="16"/>
    </w:rPr>
  </w:style>
  <w:style w:type="paragraph" w:styleId="Textocomentario">
    <w:name w:val="annotation text"/>
    <w:basedOn w:val="Normal"/>
    <w:link w:val="TextocomentarioCar"/>
    <w:uiPriority w:val="99"/>
    <w:unhideWhenUsed/>
    <w:rsid w:val="00077C44"/>
    <w:pPr>
      <w:spacing w:line="240" w:lineRule="auto"/>
    </w:pPr>
    <w:rPr>
      <w:sz w:val="20"/>
      <w:szCs w:val="20"/>
    </w:rPr>
  </w:style>
  <w:style w:type="character" w:customStyle="1" w:styleId="TextocomentarioCar">
    <w:name w:val="Texto comentario Car"/>
    <w:basedOn w:val="Fuentedeprrafopredeter"/>
    <w:link w:val="Textocomentario"/>
    <w:uiPriority w:val="99"/>
    <w:rsid w:val="00077C44"/>
    <w:rPr>
      <w:sz w:val="20"/>
      <w:szCs w:val="20"/>
    </w:rPr>
  </w:style>
  <w:style w:type="paragraph" w:styleId="Asuntodelcomentario">
    <w:name w:val="annotation subject"/>
    <w:basedOn w:val="Textocomentario"/>
    <w:next w:val="Textocomentario"/>
    <w:link w:val="AsuntodelcomentarioCar"/>
    <w:uiPriority w:val="99"/>
    <w:semiHidden/>
    <w:unhideWhenUsed/>
    <w:rsid w:val="00077C44"/>
    <w:rPr>
      <w:b/>
      <w:bCs/>
    </w:rPr>
  </w:style>
  <w:style w:type="character" w:customStyle="1" w:styleId="AsuntodelcomentarioCar">
    <w:name w:val="Asunto del comentario Car"/>
    <w:basedOn w:val="TextocomentarioCar"/>
    <w:link w:val="Asuntodelcomentario"/>
    <w:uiPriority w:val="99"/>
    <w:semiHidden/>
    <w:rsid w:val="00077C44"/>
    <w:rPr>
      <w:b/>
      <w:bCs/>
      <w:sz w:val="20"/>
      <w:szCs w:val="20"/>
    </w:rPr>
  </w:style>
  <w:style w:type="character" w:styleId="Mencinsinresolver">
    <w:name w:val="Unresolved Mention"/>
    <w:basedOn w:val="Fuentedeprrafopredeter"/>
    <w:uiPriority w:val="99"/>
    <w:semiHidden/>
    <w:unhideWhenUsed/>
    <w:rsid w:val="0058052A"/>
    <w:rPr>
      <w:color w:val="605E5C"/>
      <w:shd w:val="clear" w:color="auto" w:fill="E1DFDD"/>
    </w:rPr>
  </w:style>
  <w:style w:type="character" w:customStyle="1" w:styleId="apple-converted-space">
    <w:name w:val="apple-converted-space"/>
    <w:basedOn w:val="Fuentedeprrafopredeter"/>
    <w:rsid w:val="00E229A2"/>
  </w:style>
  <w:style w:type="character" w:customStyle="1" w:styleId="ui-provider">
    <w:name w:val="ui-provider"/>
    <w:basedOn w:val="Fuentedeprrafopredeter"/>
    <w:rsid w:val="00E2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9/05/relationships/documenttasks" Target="documenttasks/documenttasks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692D407-40A0-4ABB-AC3D-314A17A0F4E8}">
    <t:Anchor>
      <t:Comment id="510722001"/>
    </t:Anchor>
    <t:History>
      <t:Event id="{C03AD5FB-EEEB-4597-85AA-BF21A4D2F361}" time="2026-01-19T16:31:40.656Z">
        <t:Attribution userId="S::virginia.rojasmadrazo@telefonica.com::bb988a5f-eea4-4198-841d-4e6a5498054b" userProvider="AD" userName="VIRGINIA ROJAS MADRAZO"/>
        <t:Anchor>
          <t:Comment id="41061915"/>
        </t:Anchor>
        <t:Create/>
      </t:Event>
      <t:Event id="{F436CDFA-C643-4281-8A43-082049102B17}" time="2026-01-19T16:31:40.656Z">
        <t:Attribution userId="S::virginia.rojasmadrazo@telefonica.com::bb988a5f-eea4-4198-841d-4e6a5498054b" userProvider="AD" userName="VIRGINIA ROJAS MADRAZO"/>
        <t:Anchor>
          <t:Comment id="41061915"/>
        </t:Anchor>
        <t:Assign userId="S::lydia.lostesaez@telefonica.com::13bc1c62-da00-49bd-93d1-42a15ab4143f" userProvider="AD" userName="LYDIA LOSTE SAEZ"/>
      </t:Event>
      <t:Event id="{C204FF85-A14E-427C-823F-9AD3293A8C1B}" time="2026-01-19T16:31:40.656Z">
        <t:Attribution userId="S::virginia.rojasmadrazo@telefonica.com::bb988a5f-eea4-4198-841d-4e6a5498054b" userProvider="AD" userName="VIRGINIA ROJAS MADRAZO"/>
        <t:Anchor>
          <t:Comment id="41061915"/>
        </t:Anchor>
        <t:SetTitle title="@LYDIA revisado, espero te parezca O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1372</Words>
  <Characters>7546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ROJAS MADRAZO</dc:creator>
  <cp:keywords/>
  <dc:description/>
  <cp:lastModifiedBy>VIRGINIA ROJAS MADRAZO</cp:lastModifiedBy>
  <cp:revision>3</cp:revision>
  <dcterms:created xsi:type="dcterms:W3CDTF">2026-01-31T09:40:00Z</dcterms:created>
  <dcterms:modified xsi:type="dcterms:W3CDTF">2026-02-02T09:51:00Z</dcterms:modified>
</cp:coreProperties>
</file>